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1617D2" w14:textId="77777777" w:rsidR="006450A7" w:rsidRPr="001738D5" w:rsidRDefault="00000000" w:rsidP="001738D5">
      <w:pPr>
        <w:spacing w:after="240"/>
        <w:jc w:val="both"/>
        <w:rPr>
          <w:rFonts w:asciiTheme="majorHAnsi" w:hAnsiTheme="majorHAnsi"/>
          <w:lang w:val="en-US"/>
        </w:rPr>
      </w:pPr>
      <w:r w:rsidRPr="001738D5">
        <w:rPr>
          <w:rFonts w:asciiTheme="majorHAnsi" w:hAnsiTheme="majorHAnsi"/>
          <w:lang w:val="en-US"/>
        </w:rPr>
        <w:t xml:space="preserve">[Your Excellency </w:t>
      </w:r>
      <w:r w:rsidRPr="001738D5">
        <w:rPr>
          <w:rFonts w:asciiTheme="majorHAnsi" w:hAnsiTheme="majorHAnsi"/>
          <w:highlight w:val="yellow"/>
          <w:lang w:val="en-US"/>
        </w:rPr>
        <w:t>XXXXXXX (include government representative to whom the letter is addressed)]</w:t>
      </w:r>
    </w:p>
    <w:p w14:paraId="469C84E4" w14:textId="77777777" w:rsidR="006450A7" w:rsidRPr="001738D5" w:rsidRDefault="00000000" w:rsidP="001738D5">
      <w:pPr>
        <w:spacing w:after="240"/>
        <w:jc w:val="both"/>
        <w:rPr>
          <w:rFonts w:asciiTheme="majorHAnsi" w:hAnsiTheme="majorHAnsi"/>
          <w:lang w:val="en-US"/>
        </w:rPr>
      </w:pPr>
      <w:r w:rsidRPr="001738D5">
        <w:rPr>
          <w:rFonts w:asciiTheme="majorHAnsi" w:hAnsiTheme="majorHAnsi"/>
          <w:lang w:val="en-US"/>
        </w:rPr>
        <w:t>Our unions, federations and confederations have closely followed the negotiations of the PABS annex, just as we have followed the Pandemic Treaty negotiation process. We have carried out this work with the support of Public Services International (PSI), the global union federation representing public services, health and social care workers worldwide, to which we are affiliated, and we have succeeded in including important measures in the article on health workforce.</w:t>
      </w:r>
    </w:p>
    <w:p w14:paraId="7DA3021B" w14:textId="77777777" w:rsidR="006450A7" w:rsidRPr="001738D5" w:rsidRDefault="00000000" w:rsidP="001738D5">
      <w:pPr>
        <w:spacing w:after="240"/>
        <w:jc w:val="both"/>
        <w:rPr>
          <w:rFonts w:asciiTheme="majorHAnsi" w:hAnsiTheme="majorHAnsi"/>
          <w:lang w:val="en-US"/>
        </w:rPr>
      </w:pPr>
      <w:r w:rsidRPr="001738D5">
        <w:rPr>
          <w:rFonts w:asciiTheme="majorHAnsi" w:hAnsiTheme="majorHAnsi"/>
          <w:lang w:val="en-US"/>
        </w:rPr>
        <w:t>The current text of the PABS annex has not achieved results that would allow developing countries to adequately prepare for and respond to the next health emergency. In its current form, the annex does little to alter the status quo, leaving developing countries exposed to the same inequalities they faced during COVID-19, when several of our colleagues died or were scarred by those terrible years.</w:t>
      </w:r>
    </w:p>
    <w:p w14:paraId="7194B97F" w14:textId="77777777" w:rsidR="006450A7" w:rsidRPr="001738D5" w:rsidRDefault="00000000" w:rsidP="001738D5">
      <w:pPr>
        <w:spacing w:after="240"/>
        <w:jc w:val="both"/>
        <w:rPr>
          <w:rFonts w:asciiTheme="majorHAnsi" w:hAnsiTheme="majorHAnsi"/>
          <w:lang w:val="en-US"/>
        </w:rPr>
      </w:pPr>
      <w:r w:rsidRPr="001738D5">
        <w:rPr>
          <w:rFonts w:asciiTheme="majorHAnsi" w:hAnsiTheme="majorHAnsi"/>
          <w:lang w:val="en-US"/>
        </w:rPr>
        <w:t>Therefore, we urge the government of [</w:t>
      </w:r>
      <w:r w:rsidRPr="001738D5">
        <w:rPr>
          <w:rFonts w:asciiTheme="majorHAnsi" w:hAnsiTheme="majorHAnsi"/>
          <w:highlight w:val="yellow"/>
          <w:lang w:val="en-US"/>
        </w:rPr>
        <w:t>XXXXXXX</w:t>
      </w:r>
      <w:r w:rsidRPr="001738D5">
        <w:rPr>
          <w:rFonts w:asciiTheme="majorHAnsi" w:hAnsiTheme="majorHAnsi"/>
          <w:lang w:val="en-US"/>
        </w:rPr>
        <w:t>] to resist the efforts of Global North countries through bilateral agreements and the INB table seeking to shrink the text to continue seeking a text that truly promotes equity, that includes legally binding norms, transparent, in conformity with existing mechanisms, and that puts health as a right first, above profits.</w:t>
      </w:r>
    </w:p>
    <w:p w14:paraId="719D285B" w14:textId="77777777" w:rsidR="006450A7" w:rsidRPr="001738D5" w:rsidRDefault="00000000" w:rsidP="001738D5">
      <w:pPr>
        <w:spacing w:after="240"/>
        <w:jc w:val="both"/>
        <w:rPr>
          <w:rFonts w:asciiTheme="majorHAnsi" w:hAnsiTheme="majorHAnsi"/>
          <w:lang w:val="en-US"/>
        </w:rPr>
      </w:pPr>
      <w:r w:rsidRPr="001738D5">
        <w:rPr>
          <w:rFonts w:asciiTheme="majorHAnsi" w:hAnsiTheme="majorHAnsi"/>
          <w:lang w:val="en-US"/>
        </w:rPr>
        <w:t>Below, we share some of the main points of attention for the 5th round of negotiation of the PABS Annex. In the document attached to this letter, it is possible to verify the position of PSI and its affiliates in more detail.</w:t>
      </w:r>
    </w:p>
    <w:p w14:paraId="35222891" w14:textId="4A21DE59" w:rsidR="006450A7" w:rsidRPr="001738D5" w:rsidRDefault="00000000" w:rsidP="001738D5">
      <w:pPr>
        <w:pStyle w:val="PargrafodaLista"/>
        <w:numPr>
          <w:ilvl w:val="0"/>
          <w:numId w:val="3"/>
        </w:numPr>
        <w:spacing w:after="120"/>
        <w:jc w:val="both"/>
        <w:rPr>
          <w:rFonts w:asciiTheme="majorHAnsi" w:hAnsiTheme="majorHAnsi"/>
          <w:lang w:val="en-US"/>
        </w:rPr>
      </w:pPr>
      <w:r w:rsidRPr="001738D5">
        <w:rPr>
          <w:rFonts w:asciiTheme="majorHAnsi" w:hAnsiTheme="majorHAnsi"/>
          <w:lang w:val="en-US"/>
        </w:rPr>
        <w:t>The PABS system must be administered multilaterally by WHO under democratic oversight of Member States.</w:t>
      </w:r>
    </w:p>
    <w:p w14:paraId="7A7AFFBD" w14:textId="02FAFB4D" w:rsidR="006450A7" w:rsidRPr="001738D5" w:rsidRDefault="00000000" w:rsidP="001738D5">
      <w:pPr>
        <w:pStyle w:val="PargrafodaLista"/>
        <w:numPr>
          <w:ilvl w:val="0"/>
          <w:numId w:val="3"/>
        </w:numPr>
        <w:spacing w:after="120"/>
        <w:jc w:val="both"/>
        <w:rPr>
          <w:rFonts w:asciiTheme="majorHAnsi" w:hAnsiTheme="majorHAnsi"/>
          <w:lang w:val="en-US"/>
        </w:rPr>
      </w:pPr>
      <w:r w:rsidRPr="001738D5">
        <w:rPr>
          <w:rFonts w:asciiTheme="majorHAnsi" w:hAnsiTheme="majorHAnsi"/>
          <w:lang w:val="en-US"/>
        </w:rPr>
        <w:t>Voluntary commitments have proven to be ineffective. All recipients of PABS materials and/or sequence information must assume legally binding terms of use, including the commitment to benefit-sharing. Countries must assume obligations to implement all components of the PABS system effectively, including traceability mechanism.</w:t>
      </w:r>
    </w:p>
    <w:p w14:paraId="5BB1F749" w14:textId="1F2BA843" w:rsidR="006450A7" w:rsidRPr="001738D5" w:rsidRDefault="00000000" w:rsidP="001738D5">
      <w:pPr>
        <w:pStyle w:val="PargrafodaLista"/>
        <w:numPr>
          <w:ilvl w:val="0"/>
          <w:numId w:val="3"/>
        </w:numPr>
        <w:spacing w:after="120"/>
        <w:jc w:val="both"/>
        <w:rPr>
          <w:rFonts w:asciiTheme="majorHAnsi" w:hAnsiTheme="majorHAnsi"/>
          <w:lang w:val="en-US"/>
        </w:rPr>
      </w:pPr>
      <w:r w:rsidRPr="001738D5">
        <w:rPr>
          <w:rFonts w:asciiTheme="majorHAnsi" w:hAnsiTheme="majorHAnsi"/>
          <w:lang w:val="en-US"/>
        </w:rPr>
        <w:t>All actors accessing pathogens or data must sign standardized contracts with clear, transparent, public and auditable terms. All agreements, transactions, access to pathogen samples or data, transfers of pathogens to third parties, PABS sequence database records and benefit flows must be fully transparent and subject to public audit.</w:t>
      </w:r>
    </w:p>
    <w:p w14:paraId="55688EA6" w14:textId="5AD80A89" w:rsidR="006450A7" w:rsidRPr="001738D5" w:rsidRDefault="00000000" w:rsidP="001738D5">
      <w:pPr>
        <w:pStyle w:val="PargrafodaLista"/>
        <w:numPr>
          <w:ilvl w:val="0"/>
          <w:numId w:val="3"/>
        </w:numPr>
        <w:spacing w:after="120"/>
        <w:jc w:val="both"/>
        <w:rPr>
          <w:rFonts w:asciiTheme="majorHAnsi" w:hAnsiTheme="majorHAnsi"/>
          <w:lang w:val="en-US"/>
        </w:rPr>
      </w:pPr>
      <w:r w:rsidRPr="001738D5">
        <w:rPr>
          <w:rFonts w:asciiTheme="majorHAnsi" w:hAnsiTheme="majorHAnsi"/>
          <w:lang w:val="en-US"/>
        </w:rPr>
        <w:t>The WHO IGWG should make multilateral PABS more attractive than such bilateral agreements by establishing significant benefit-sharing commitments and robust governance and accountability mechanisms that ensure that sovereign rights over shared resources are well respected and safeguarded. Only this will stop bilateral agreements in this regard, which will undermine global public health. For example, U.S. contracts that condition humanitarian aid on the commitment to share pathogens and data.</w:t>
      </w:r>
    </w:p>
    <w:p w14:paraId="27355C0F" w14:textId="6E048EDD" w:rsidR="006450A7" w:rsidRPr="001738D5" w:rsidRDefault="00000000" w:rsidP="001738D5">
      <w:pPr>
        <w:pStyle w:val="PargrafodaLista"/>
        <w:numPr>
          <w:ilvl w:val="0"/>
          <w:numId w:val="3"/>
        </w:numPr>
        <w:spacing w:after="240"/>
        <w:jc w:val="both"/>
        <w:rPr>
          <w:rFonts w:asciiTheme="majorHAnsi" w:hAnsiTheme="majorHAnsi"/>
          <w:lang w:val="en-US"/>
        </w:rPr>
      </w:pPr>
      <w:r w:rsidRPr="001738D5">
        <w:rPr>
          <w:rFonts w:asciiTheme="majorHAnsi" w:hAnsiTheme="majorHAnsi"/>
          <w:lang w:val="en-US"/>
        </w:rPr>
        <w:t xml:space="preserve">Countries have sovereign rights over their genetic resources and sequence information, as established by the Convention on Biological Diversity (CBD) and the Nagoya Protocol (NP). Indigenous peoples and local communities also have rights over genetic resources, and both countries, communities and individuals have rights over health data. All these rights </w:t>
      </w:r>
      <w:r w:rsidRPr="001738D5">
        <w:rPr>
          <w:rFonts w:asciiTheme="majorHAnsi" w:hAnsiTheme="majorHAnsi"/>
          <w:lang w:val="en-US"/>
        </w:rPr>
        <w:lastRenderedPageBreak/>
        <w:t>must be respected when accessing, sharing or using PABS materials and sequence information if PABS is to achieve the status of a specialized international ABS instrument. Appropriate access is one of the indisputable objectives of the CBD and the NP.</w:t>
      </w:r>
    </w:p>
    <w:p w14:paraId="4519788D" w14:textId="77D4106E" w:rsidR="006450A7" w:rsidRPr="001738D5" w:rsidRDefault="00000000" w:rsidP="001738D5">
      <w:pPr>
        <w:spacing w:after="240"/>
        <w:jc w:val="both"/>
        <w:rPr>
          <w:rFonts w:asciiTheme="majorHAnsi" w:hAnsiTheme="majorHAnsi"/>
          <w:lang w:val="en-US"/>
        </w:rPr>
      </w:pPr>
      <w:r w:rsidRPr="001738D5">
        <w:rPr>
          <w:rFonts w:asciiTheme="majorHAnsi" w:hAnsiTheme="majorHAnsi"/>
          <w:lang w:val="en-US"/>
        </w:rPr>
        <w:t>The negotiations and</w:t>
      </w:r>
      <w:r w:rsidR="001738D5">
        <w:rPr>
          <w:rFonts w:asciiTheme="majorHAnsi" w:hAnsiTheme="majorHAnsi"/>
          <w:lang w:val="en-US"/>
        </w:rPr>
        <w:t xml:space="preserve"> the</w:t>
      </w:r>
      <w:r w:rsidRPr="001738D5">
        <w:rPr>
          <w:rFonts w:asciiTheme="majorHAnsi" w:hAnsiTheme="majorHAnsi"/>
          <w:lang w:val="en-US"/>
        </w:rPr>
        <w:t xml:space="preserve"> multilateralism itself are at a key moment. We urge the government of [</w:t>
      </w:r>
      <w:r w:rsidRPr="001738D5">
        <w:rPr>
          <w:rFonts w:asciiTheme="majorHAnsi" w:hAnsiTheme="majorHAnsi"/>
          <w:highlight w:val="yellow"/>
          <w:lang w:val="en-US"/>
        </w:rPr>
        <w:t>XXXXXXXX</w:t>
      </w:r>
      <w:r w:rsidRPr="001738D5">
        <w:rPr>
          <w:rFonts w:asciiTheme="majorHAnsi" w:hAnsiTheme="majorHAnsi"/>
          <w:lang w:val="en-US"/>
        </w:rPr>
        <w:t xml:space="preserve">] to resist the pressure and continue to seek to include measures that place equity at the center of the future instrument. Member States must put rights above </w:t>
      </w:r>
      <w:r w:rsidR="001738D5" w:rsidRPr="001738D5">
        <w:rPr>
          <w:rFonts w:asciiTheme="majorHAnsi" w:hAnsiTheme="majorHAnsi"/>
          <w:lang w:val="en-US"/>
        </w:rPr>
        <w:t>profit and</w:t>
      </w:r>
      <w:r w:rsidRPr="001738D5">
        <w:rPr>
          <w:rFonts w:asciiTheme="majorHAnsi" w:hAnsiTheme="majorHAnsi"/>
          <w:lang w:val="en-US"/>
        </w:rPr>
        <w:t xml:space="preserve"> protect people and health and care workers. We hope to count on your support and remain at your disposal for any questions. A representative of PSI, Dr. Pedro Villardi (Health Sector Coordinator for the Americas) will be at the WHO following the negotiations at the 5th IGWG and is available for a meeting.</w:t>
      </w:r>
    </w:p>
    <w:p w14:paraId="7D328F89" w14:textId="77777777" w:rsidR="006450A7" w:rsidRPr="001738D5" w:rsidRDefault="00000000" w:rsidP="001738D5">
      <w:pPr>
        <w:spacing w:before="240"/>
        <w:jc w:val="both"/>
        <w:rPr>
          <w:rFonts w:asciiTheme="majorHAnsi" w:hAnsiTheme="majorHAnsi"/>
        </w:rPr>
      </w:pPr>
      <w:proofErr w:type="spellStart"/>
      <w:r w:rsidRPr="001738D5">
        <w:rPr>
          <w:rFonts w:asciiTheme="majorHAnsi" w:hAnsiTheme="majorHAnsi"/>
        </w:rPr>
        <w:t>Sincerely</w:t>
      </w:r>
      <w:proofErr w:type="spellEnd"/>
      <w:r w:rsidRPr="001738D5">
        <w:rPr>
          <w:rFonts w:asciiTheme="majorHAnsi" w:hAnsiTheme="majorHAnsi"/>
        </w:rPr>
        <w:t>,</w:t>
      </w:r>
    </w:p>
    <w:sectPr w:rsidR="006450A7" w:rsidRPr="001738D5">
      <w:pgSz w:w="12240" w:h="15840"/>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C148B4"/>
    <w:multiLevelType w:val="hybridMultilevel"/>
    <w:tmpl w:val="C0DE9B50"/>
    <w:lvl w:ilvl="0" w:tplc="B95467F6">
      <w:numFmt w:val="bullet"/>
      <w:lvlText w:val="-"/>
      <w:lvlJc w:val="left"/>
      <w:pPr>
        <w:ind w:left="720" w:hanging="360"/>
      </w:pPr>
      <w:rPr>
        <w:rFonts w:ascii="Aptos Display" w:eastAsia="Arial" w:hAnsi="Aptos Display"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66F766D9"/>
    <w:multiLevelType w:val="hybridMultilevel"/>
    <w:tmpl w:val="A168A8D6"/>
    <w:lvl w:ilvl="0" w:tplc="AA86481E">
      <w:start w:val="1"/>
      <w:numFmt w:val="bullet"/>
      <w:lvlText w:val="●"/>
      <w:lvlJc w:val="left"/>
      <w:pPr>
        <w:ind w:left="720" w:hanging="360"/>
      </w:pPr>
    </w:lvl>
    <w:lvl w:ilvl="1" w:tplc="0EE6D188">
      <w:start w:val="1"/>
      <w:numFmt w:val="bullet"/>
      <w:lvlText w:val="○"/>
      <w:lvlJc w:val="left"/>
      <w:pPr>
        <w:ind w:left="1440" w:hanging="360"/>
      </w:pPr>
    </w:lvl>
    <w:lvl w:ilvl="2" w:tplc="DA50E6CC">
      <w:start w:val="1"/>
      <w:numFmt w:val="bullet"/>
      <w:lvlText w:val="■"/>
      <w:lvlJc w:val="left"/>
      <w:pPr>
        <w:ind w:left="2160" w:hanging="360"/>
      </w:pPr>
    </w:lvl>
    <w:lvl w:ilvl="3" w:tplc="D0306EC4">
      <w:start w:val="1"/>
      <w:numFmt w:val="bullet"/>
      <w:lvlText w:val="●"/>
      <w:lvlJc w:val="left"/>
      <w:pPr>
        <w:ind w:left="2880" w:hanging="360"/>
      </w:pPr>
    </w:lvl>
    <w:lvl w:ilvl="4" w:tplc="D56C156E">
      <w:start w:val="1"/>
      <w:numFmt w:val="bullet"/>
      <w:lvlText w:val="○"/>
      <w:lvlJc w:val="left"/>
      <w:pPr>
        <w:ind w:left="3600" w:hanging="360"/>
      </w:pPr>
    </w:lvl>
    <w:lvl w:ilvl="5" w:tplc="74E4DB40">
      <w:start w:val="1"/>
      <w:numFmt w:val="bullet"/>
      <w:lvlText w:val="■"/>
      <w:lvlJc w:val="left"/>
      <w:pPr>
        <w:ind w:left="4320" w:hanging="360"/>
      </w:pPr>
    </w:lvl>
    <w:lvl w:ilvl="6" w:tplc="A802F55A">
      <w:start w:val="1"/>
      <w:numFmt w:val="bullet"/>
      <w:lvlText w:val="●"/>
      <w:lvlJc w:val="left"/>
      <w:pPr>
        <w:ind w:left="5040" w:hanging="360"/>
      </w:pPr>
    </w:lvl>
    <w:lvl w:ilvl="7" w:tplc="17CA1CDC">
      <w:start w:val="1"/>
      <w:numFmt w:val="bullet"/>
      <w:lvlText w:val="●"/>
      <w:lvlJc w:val="left"/>
      <w:pPr>
        <w:ind w:left="5760" w:hanging="360"/>
      </w:pPr>
    </w:lvl>
    <w:lvl w:ilvl="8" w:tplc="64DCB04C">
      <w:start w:val="1"/>
      <w:numFmt w:val="bullet"/>
      <w:lvlText w:val="●"/>
      <w:lvlJc w:val="left"/>
      <w:pPr>
        <w:ind w:left="6480" w:hanging="360"/>
      </w:pPr>
    </w:lvl>
  </w:abstractNum>
  <w:abstractNum w:abstractNumId="2" w15:restartNumberingAfterBreak="0">
    <w:nsid w:val="6FC11EC8"/>
    <w:multiLevelType w:val="hybridMultilevel"/>
    <w:tmpl w:val="4948CFE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1326319163">
    <w:abstractNumId w:val="1"/>
    <w:lvlOverride w:ilvl="0">
      <w:startOverride w:val="1"/>
    </w:lvlOverride>
  </w:num>
  <w:num w:numId="2" w16cid:durableId="2037340158">
    <w:abstractNumId w:val="2"/>
  </w:num>
  <w:num w:numId="3" w16cid:durableId="1274019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50A7"/>
    <w:rsid w:val="001738D5"/>
    <w:rsid w:val="006450A7"/>
    <w:rsid w:val="00B3567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88AE4F"/>
  <w15:docId w15:val="{08E07345-A6F1-4820-A88B-804B9A1DF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4"/>
        <w:szCs w:val="24"/>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uiPriority w:val="9"/>
    <w:qFormat/>
    <w:pPr>
      <w:spacing w:before="240" w:after="240"/>
      <w:outlineLvl w:val="0"/>
    </w:pPr>
    <w:rPr>
      <w:b/>
      <w:bCs/>
      <w:sz w:val="32"/>
      <w:szCs w:val="32"/>
    </w:rPr>
  </w:style>
  <w:style w:type="paragraph" w:styleId="Ttulo2">
    <w:name w:val="heading 2"/>
    <w:uiPriority w:val="9"/>
    <w:semiHidden/>
    <w:unhideWhenUsed/>
    <w:qFormat/>
    <w:pPr>
      <w:outlineLvl w:val="1"/>
    </w:pPr>
    <w:rPr>
      <w:color w:val="2E74B5"/>
      <w:sz w:val="26"/>
      <w:szCs w:val="26"/>
    </w:rPr>
  </w:style>
  <w:style w:type="paragraph" w:styleId="Ttulo3">
    <w:name w:val="heading 3"/>
    <w:uiPriority w:val="9"/>
    <w:semiHidden/>
    <w:unhideWhenUsed/>
    <w:qFormat/>
    <w:pPr>
      <w:outlineLvl w:val="2"/>
    </w:pPr>
    <w:rPr>
      <w:color w:val="1F4D78"/>
    </w:rPr>
  </w:style>
  <w:style w:type="paragraph" w:styleId="Ttulo4">
    <w:name w:val="heading 4"/>
    <w:uiPriority w:val="9"/>
    <w:semiHidden/>
    <w:unhideWhenUsed/>
    <w:qFormat/>
    <w:pPr>
      <w:outlineLvl w:val="3"/>
    </w:pPr>
    <w:rPr>
      <w:i/>
      <w:iCs/>
      <w:color w:val="2E74B5"/>
    </w:rPr>
  </w:style>
  <w:style w:type="paragraph" w:styleId="Ttulo5">
    <w:name w:val="heading 5"/>
    <w:uiPriority w:val="9"/>
    <w:semiHidden/>
    <w:unhideWhenUsed/>
    <w:qFormat/>
    <w:pPr>
      <w:outlineLvl w:val="4"/>
    </w:pPr>
    <w:rPr>
      <w:color w:val="2E74B5"/>
    </w:rPr>
  </w:style>
  <w:style w:type="paragraph" w:styleId="Ttulo6">
    <w:name w:val="heading 6"/>
    <w:uiPriority w:val="9"/>
    <w:semiHidden/>
    <w:unhideWhenUsed/>
    <w:qFormat/>
    <w:pPr>
      <w:outlineLvl w:val="5"/>
    </w:pPr>
    <w:rPr>
      <w:color w:val="1F4D7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uiPriority w:val="10"/>
    <w:qFormat/>
    <w:rPr>
      <w:sz w:val="56"/>
      <w:szCs w:val="56"/>
    </w:rPr>
  </w:style>
  <w:style w:type="paragraph" w:customStyle="1" w:styleId="Forte1">
    <w:name w:val="Forte1"/>
    <w:qFormat/>
    <w:rPr>
      <w:b/>
      <w:bCs/>
    </w:rPr>
  </w:style>
  <w:style w:type="paragraph" w:styleId="PargrafodaLista">
    <w:name w:val="List Paragraph"/>
    <w:qFormat/>
  </w:style>
  <w:style w:type="character" w:styleId="Hyperlink">
    <w:name w:val="Hyperlink"/>
    <w:uiPriority w:val="99"/>
    <w:unhideWhenUsed/>
    <w:rPr>
      <w:color w:val="0563C1"/>
      <w:u w:val="single"/>
    </w:rPr>
  </w:style>
  <w:style w:type="character" w:styleId="Refdenotaderodap">
    <w:name w:val="footnote reference"/>
    <w:uiPriority w:val="99"/>
    <w:semiHidden/>
    <w:unhideWhenUsed/>
    <w:rPr>
      <w:vertAlign w:val="superscript"/>
    </w:rPr>
  </w:style>
  <w:style w:type="paragraph" w:styleId="Textodenotaderodap">
    <w:name w:val="footnote text"/>
    <w:link w:val="TextodenotaderodapChar"/>
    <w:uiPriority w:val="99"/>
    <w:semiHidden/>
    <w:unhideWhenUsed/>
    <w:rPr>
      <w:sz w:val="20"/>
      <w:szCs w:val="20"/>
    </w:rPr>
  </w:style>
  <w:style w:type="character" w:customStyle="1" w:styleId="TextodenotaderodapChar">
    <w:name w:val="Texto de nota de rodapé Char"/>
    <w:link w:val="Textodenotaderodap"/>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613</Words>
  <Characters>3415</Characters>
  <Application>Microsoft Office Word</Application>
  <DocSecurity>0</DocSecurity>
  <Lines>54</Lines>
  <Paragraphs>14</Paragraphs>
  <ScaleCrop>false</ScaleCrop>
  <Company/>
  <LinksUpToDate>false</LinksUpToDate>
  <CharactersWithSpaces>4014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Pedro Villardi</cp:lastModifiedBy>
  <cp:revision>2</cp:revision>
  <dcterms:created xsi:type="dcterms:W3CDTF">2026-02-06T04:07:00Z</dcterms:created>
  <dcterms:modified xsi:type="dcterms:W3CDTF">2026-02-06T04:07:00Z</dcterms:modified>
</cp:coreProperties>
</file>